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西方社会学理论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7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203"/>
        <w:gridCol w:w="369"/>
        <w:gridCol w:w="623"/>
        <w:gridCol w:w="1550"/>
        <w:gridCol w:w="1118"/>
        <w:gridCol w:w="1258"/>
        <w:gridCol w:w="893"/>
        <w:gridCol w:w="490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西方社会学理论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课程英文名称：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Theories of Western Sociology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36/3/2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先修课程：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社会学概论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69" w:type="dxa"/>
            <w:gridSpan w:val="6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星期三第5-6节（双周）星期五第3-4节</w:t>
            </w:r>
          </w:p>
        </w:tc>
        <w:tc>
          <w:tcPr>
            <w:tcW w:w="3732" w:type="dxa"/>
            <w:gridSpan w:val="4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授课地点：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莞城校区2402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2015级社会工作专业1、2班学生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开课院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法律与社会工作学院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邹朝春/讲师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13712475262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64303278@qq.com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课后答疑、教室或其他地方 ，当面答疑或电话答疑或邮件答疑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√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>
              <w:rPr>
                <w:rFonts w:hint="eastAsia" w:ascii="宋体" w:hAnsi="宋体"/>
                <w:sz w:val="24"/>
                <w:lang w:eastAsia="zh-CN"/>
              </w:rPr>
              <w:t>《西方社会学理论教程》第三版，侯钧生，南开大学出版社，201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年。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迪尔凯姆：《自杀论》，冯韵文译，北京：商务出版社，1996年版。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韦伯：《新教伦理与资本主义精神》，于晓等译，北京：三联书店，1987年版。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阿隆：《社会学主要思潮》，葛智强等译，北京：华夏出版社，2000年版。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西美尔：《货币哲学》，陈戎女译，北京：华夏出版社，2002年版。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马尔库塞：《单向度的人》，刘继译，上海：上海译文出版社，2008年版。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jc w:val="lef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课程简介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color w:val="000000"/>
                <w:sz w:val="24"/>
              </w:rPr>
              <w:t>西方社会学理论这门课</w:t>
            </w:r>
            <w:r>
              <w:rPr>
                <w:rFonts w:hint="eastAsia" w:eastAsia="宋体"/>
                <w:color w:val="000000"/>
                <w:sz w:val="24"/>
                <w:lang w:val="en-US" w:eastAsia="zh-CN"/>
              </w:rPr>
              <w:t>程</w:t>
            </w:r>
            <w:r>
              <w:rPr>
                <w:rFonts w:hint="eastAsia"/>
                <w:color w:val="000000"/>
                <w:sz w:val="24"/>
              </w:rPr>
              <w:t>比较全面而有系统地向学生介绍外国社会学理论，尤其是西方社会学理论的由来和发展。注重介绍西方社会学理论大家理论中的精华和经典著作，它对</w:t>
            </w:r>
            <w:r>
              <w:rPr>
                <w:rFonts w:hint="eastAsia" w:eastAsia="宋体"/>
                <w:color w:val="000000"/>
                <w:sz w:val="24"/>
                <w:lang w:val="en-US" w:eastAsia="zh-CN"/>
              </w:rPr>
              <w:t>包括社会工作专业在内的</w:t>
            </w:r>
            <w:r>
              <w:rPr>
                <w:rFonts w:hint="eastAsia"/>
                <w:color w:val="000000"/>
                <w:sz w:val="24"/>
              </w:rPr>
              <w:t>社会学学生在深层次上理解社会、剖析社会提供有效的理论工具。它将启发学生的分析思路，扩大学生的思考空间</w:t>
            </w:r>
            <w:r>
              <w:rPr>
                <w:rFonts w:hint="eastAsia" w:eastAsia="宋体"/>
                <w:color w:val="000000"/>
                <w:sz w:val="24"/>
                <w:lang w:eastAsia="zh-CN"/>
              </w:rPr>
              <w:t>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numPr>
                <w:ilvl w:val="0"/>
                <w:numId w:val="1"/>
              </w:numPr>
              <w:tabs>
                <w:tab w:val="left" w:pos="1440"/>
              </w:tabs>
              <w:spacing w:after="0" w:line="0" w:lineRule="atLeast"/>
              <w:ind w:firstLine="480" w:firstLineChars="200"/>
              <w:outlineLvl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让学生</w:t>
            </w:r>
            <w:r>
              <w:rPr>
                <w:rFonts w:hint="eastAsia" w:ascii="宋体" w:hAnsi="宋体"/>
                <w:sz w:val="24"/>
              </w:rPr>
              <w:t>了解西方社会学的主要流派及其核心思想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为其日后从事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社会工作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专业奠定必要的社会学理论基础。</w:t>
            </w:r>
          </w:p>
          <w:p>
            <w:pPr>
              <w:numPr>
                <w:ilvl w:val="0"/>
                <w:numId w:val="1"/>
              </w:numPr>
              <w:tabs>
                <w:tab w:val="left" w:pos="1440"/>
              </w:tabs>
              <w:spacing w:after="0" w:line="0" w:lineRule="atLeast"/>
              <w:ind w:firstLine="480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使学生</w:t>
            </w:r>
            <w:r>
              <w:rPr>
                <w:rFonts w:hint="eastAsia" w:ascii="宋体" w:hAnsi="宋体"/>
                <w:sz w:val="24"/>
              </w:rPr>
              <w:t>能对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主流西方</w:t>
            </w:r>
            <w:r>
              <w:rPr>
                <w:rFonts w:hint="eastAsia" w:ascii="宋体" w:hAnsi="宋体"/>
                <w:sz w:val="24"/>
              </w:rPr>
              <w:t>社会学理论进行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有理</w:t>
            </w:r>
            <w:r>
              <w:rPr>
                <w:rFonts w:hint="eastAsia" w:ascii="宋体" w:hAnsi="宋体"/>
                <w:sz w:val="24"/>
              </w:rPr>
              <w:t>有据的评价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训练其发现问题、分析问题与解决问题的能力。</w:t>
            </w:r>
          </w:p>
          <w:p>
            <w:pPr>
              <w:numPr>
                <w:ilvl w:val="0"/>
                <w:numId w:val="1"/>
              </w:numPr>
              <w:tabs>
                <w:tab w:val="left" w:pos="1440"/>
              </w:tabs>
              <w:spacing w:after="0" w:line="0" w:lineRule="atLeast"/>
              <w:ind w:firstLine="480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训练学生的社会学专业思维，帮助其在观察、理解社会现象时对</w:t>
            </w:r>
            <w:r>
              <w:rPr>
                <w:rFonts w:hint="eastAsia" w:ascii="宋体" w:hAnsi="宋体"/>
                <w:sz w:val="24"/>
              </w:rPr>
              <w:t>某一社会学理论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活学活用。</w:t>
            </w:r>
          </w:p>
          <w:p>
            <w:pPr>
              <w:numPr>
                <w:ilvl w:val="0"/>
                <w:numId w:val="1"/>
              </w:numPr>
              <w:tabs>
                <w:tab w:val="left" w:pos="1440"/>
              </w:tabs>
              <w:spacing w:after="0" w:line="0" w:lineRule="atLeast"/>
              <w:ind w:firstLine="480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通过课堂讨论和作业，让学生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具有较好的语言和文字表达、人际沟通、应用文写作能力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eastAsia="zh-CN"/>
              </w:rPr>
              <w:t>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572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3926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38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572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西方社会学理论的产生于发展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重点：西方社会学理论发展历史及不同时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期的特点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难点：如何看待理论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eastAsia="宋体"/>
                <w:b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阅读文献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572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孔德和斯宾塞的社会学理论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重点：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二人的社会学思想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难点：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评价二人思想的异同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572" w:type="dxa"/>
            <w:gridSpan w:val="2"/>
            <w:vAlign w:val="top"/>
          </w:tcPr>
          <w:p>
            <w:pPr>
              <w:ind w:firstLine="210" w:firstLineChars="100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涂尔干的社会学理论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重点：了解涂尔干及其代表的实证主义研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究取向和基本方法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难点：实证主义范式的渊源与特点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第一次作业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572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马克思、齐美尔的社会学思想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重点：了解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马克思、齐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美尔的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社会学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贡献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难点：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马克思、齐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美尔思想的评价与影响</w:t>
            </w:r>
          </w:p>
        </w:tc>
        <w:tc>
          <w:tcPr>
            <w:tcW w:w="1383" w:type="dxa"/>
            <w:gridSpan w:val="2"/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阅读文献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韦伯的社会学理论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重点：了解韦伯的主要学术贡献，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难点：理解社会学及其方法论</w:t>
            </w:r>
          </w:p>
        </w:tc>
        <w:tc>
          <w:tcPr>
            <w:tcW w:w="1383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小组讨论</w:t>
            </w:r>
          </w:p>
        </w:tc>
        <w:tc>
          <w:tcPr>
            <w:tcW w:w="10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 前 分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组，每组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准 备 一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篇 小 论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 和 介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绍 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572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结构功能论</w:t>
            </w: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社会冲突论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重点：讨论和评价功能论、冲突论的主要内容</w:t>
            </w:r>
          </w:p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难点：理论与其植根的社会时代背景关系</w:t>
            </w:r>
          </w:p>
        </w:tc>
        <w:tc>
          <w:tcPr>
            <w:tcW w:w="1383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bottom w:val="single" w:color="auto" w:sz="4" w:space="0"/>
            </w:tcBorders>
            <w:vAlign w:val="top"/>
          </w:tcPr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社会批判论</w:t>
            </w: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交换论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重点：两种理论的主要思想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难点：两种理论产生的渊源和社会背景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阅读文献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符号互动论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现象学社会学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新功能主义社会学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重点：各种理论的主要内容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难点：如何理解各种理论繁琐的概念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哈贝马斯理论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吉登斯理论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重点：进化与现代性、生活世界的理性化，吉登斯的结构化理论与现代性分析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难点：宏观社会学视角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，理解全球化时代的现代性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实践社会学理论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选择性社会学理论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重点：理解实践理论、语言与符号暴力，选择性社会学理论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难点：如何理解它们的内涵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互动仪式链理论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后现代社会理论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重点：介绍与后现代社会相适应的各种社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会学思想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难点：理论的反思与建构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第二次作业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6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当代社会学理论热点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重点：介绍当代社会学理论所关注的新问题</w:t>
            </w:r>
          </w:p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难点：这些新问题的理论取消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课堂讲授</w:t>
            </w:r>
          </w:p>
        </w:tc>
        <w:tc>
          <w:tcPr>
            <w:tcW w:w="109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阅读文献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到堂情况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提前进入教室、维护课堂秩序，不早退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课堂讨论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善于提问、积极参与讨论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作业情况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认真审慎地思考、作业要结合社会实践、有理论深度与现实关怀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期末考核</w:t>
            </w:r>
          </w:p>
        </w:tc>
        <w:tc>
          <w:tcPr>
            <w:tcW w:w="5811" w:type="dxa"/>
            <w:gridSpan w:val="6"/>
            <w:vAlign w:val="top"/>
          </w:tcPr>
          <w:p>
            <w:pPr>
              <w:snapToGrid w:val="0"/>
              <w:spacing w:line="360" w:lineRule="exact"/>
            </w:pPr>
            <w:r>
              <w:rPr>
                <w:rFonts w:hint="eastAsia" w:ascii="宋体" w:hAnsi="宋体"/>
                <w:szCs w:val="21"/>
              </w:rPr>
              <w:t>考察学生对相关理论知识的理解与运用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360" w:lineRule="exact"/>
              <w:ind w:left="180" w:leftChars="0"/>
            </w:pPr>
            <w:r>
              <w:rPr>
                <w:rFonts w:hint="eastAsia" w:ascii="宋体" w:hAnsi="宋体"/>
                <w:szCs w:val="21"/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ind w:firstLine="949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本</w:t>
            </w:r>
            <w:r>
              <w:rPr>
                <w:rFonts w:hint="eastAsia" w:ascii="宋体" w:hAnsi="宋体"/>
                <w:szCs w:val="21"/>
                <w:lang w:eastAsia="zh-CN"/>
              </w:rPr>
              <w:t>系已对本课程教学大纲进行了审查，同意执行。</w:t>
            </w:r>
          </w:p>
          <w:p>
            <w:pPr>
              <w:spacing w:after="0" w:line="0" w:lineRule="atLeast"/>
              <w:ind w:right="105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系主任签名：成伟            日期：2017年 9 月 22  日</w:t>
            </w:r>
          </w:p>
        </w:tc>
      </w:tr>
    </w:tbl>
    <w:p>
      <w:pPr>
        <w:spacing w:line="360" w:lineRule="exact"/>
        <w:ind w:left="738" w:hanging="738" w:hangingChars="350"/>
        <w:rPr>
          <w:rFonts w:hint="eastAsia"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</w:t>
      </w:r>
      <w:r>
        <w:rPr>
          <w:rFonts w:hint="eastAsia" w:asciiTheme="minorEastAsia" w:hAnsiTheme="minorEastAsia" w:eastAsiaTheme="minorEastAsia"/>
          <w:b/>
          <w:bCs/>
          <w:color w:val="FF0000"/>
          <w:sz w:val="21"/>
          <w:szCs w:val="21"/>
          <w:lang w:eastAsia="zh-CN"/>
        </w:rPr>
        <w:t>课程</w:t>
      </w:r>
      <w:r>
        <w:rPr>
          <w:rFonts w:hint="eastAsia" w:ascii="宋体" w:hAnsi="宋体" w:eastAsia="宋体"/>
          <w:b/>
          <w:color w:val="FF0000"/>
          <w:sz w:val="21"/>
          <w:szCs w:val="21"/>
          <w:lang w:eastAsia="zh-CN"/>
        </w:rPr>
        <w:t>教学目标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2、学生核心能力即毕业要求或培养要求，请任课教师从授课对象人才培养方案中对应部分复制（登录查看地址：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http://jwc.dgut.edu.cn/jyk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</w:t>
      </w:r>
      <w:r>
        <w:rPr>
          <w:rFonts w:hint="eastAsia" w:ascii="宋体" w:hAnsi="宋体" w:eastAsia="宋体"/>
          <w:b/>
          <w:color w:val="FF0000"/>
          <w:sz w:val="21"/>
          <w:szCs w:val="21"/>
          <w:lang w:eastAsia="zh-CN"/>
        </w:rPr>
        <w:t>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>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300000000000000"/>
    <w:charset w:val="88"/>
    <w:family w:val="roman"/>
    <w:pitch w:val="default"/>
    <w:sig w:usb0="00000000" w:usb1="00000000" w:usb2="00000016" w:usb3="00000000" w:csb0="00100001" w:csb1="00000000"/>
  </w:font>
  <w:font w:name="DFKai-SB">
    <w:altName w:val="Microsoft JhengHei Light"/>
    <w:panose1 w:val="00000000000000000000"/>
    <w:charset w:val="88"/>
    <w:family w:val="script"/>
    <w:pitch w:val="default"/>
    <w:sig w:usb0="00000000" w:usb1="0000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79FCD"/>
    <w:multiLevelType w:val="singleLevel"/>
    <w:tmpl w:val="67479F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61F27"/>
    <w:rsid w:val="0006698D"/>
    <w:rsid w:val="00087B74"/>
    <w:rsid w:val="000B626E"/>
    <w:rsid w:val="000C2D4A"/>
    <w:rsid w:val="000C3065"/>
    <w:rsid w:val="000E0AE8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E27E1"/>
    <w:rsid w:val="003027D4"/>
    <w:rsid w:val="003044FA"/>
    <w:rsid w:val="0037561C"/>
    <w:rsid w:val="003C354A"/>
    <w:rsid w:val="003C66D8"/>
    <w:rsid w:val="003E66A6"/>
    <w:rsid w:val="00414FC8"/>
    <w:rsid w:val="00457E42"/>
    <w:rsid w:val="0048009E"/>
    <w:rsid w:val="004B3994"/>
    <w:rsid w:val="004D79F9"/>
    <w:rsid w:val="004E0481"/>
    <w:rsid w:val="004E7804"/>
    <w:rsid w:val="005639AB"/>
    <w:rsid w:val="005911D3"/>
    <w:rsid w:val="005B5173"/>
    <w:rsid w:val="005F174F"/>
    <w:rsid w:val="0063410F"/>
    <w:rsid w:val="0065651C"/>
    <w:rsid w:val="006F6B08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A3555"/>
    <w:rsid w:val="009B3EAE"/>
    <w:rsid w:val="009C3354"/>
    <w:rsid w:val="009D3079"/>
    <w:rsid w:val="00A37744"/>
    <w:rsid w:val="00A84D68"/>
    <w:rsid w:val="00A85774"/>
    <w:rsid w:val="00AA199F"/>
    <w:rsid w:val="00AB00C2"/>
    <w:rsid w:val="00AC6299"/>
    <w:rsid w:val="00AE1473"/>
    <w:rsid w:val="00AE48DD"/>
    <w:rsid w:val="00BB35F5"/>
    <w:rsid w:val="00C41D05"/>
    <w:rsid w:val="00C705DD"/>
    <w:rsid w:val="00C76FA2"/>
    <w:rsid w:val="00CA1AB8"/>
    <w:rsid w:val="00CC4A46"/>
    <w:rsid w:val="00CD2F8F"/>
    <w:rsid w:val="00D15FDF"/>
    <w:rsid w:val="00D23857"/>
    <w:rsid w:val="00D45246"/>
    <w:rsid w:val="00D62B41"/>
    <w:rsid w:val="00DB45CF"/>
    <w:rsid w:val="00DB5724"/>
    <w:rsid w:val="00DF5C03"/>
    <w:rsid w:val="00E0505F"/>
    <w:rsid w:val="00E413E8"/>
    <w:rsid w:val="00E53E23"/>
    <w:rsid w:val="00E84C7D"/>
    <w:rsid w:val="00ED3FCA"/>
    <w:rsid w:val="00F31667"/>
    <w:rsid w:val="00F617C2"/>
    <w:rsid w:val="00F96D96"/>
    <w:rsid w:val="00FE22C8"/>
    <w:rsid w:val="09510FCA"/>
    <w:rsid w:val="0A0E73A2"/>
    <w:rsid w:val="0AEC7D1E"/>
    <w:rsid w:val="0F2D1E0C"/>
    <w:rsid w:val="0F9A6C9B"/>
    <w:rsid w:val="14B1760F"/>
    <w:rsid w:val="1CC83344"/>
    <w:rsid w:val="1D0D158F"/>
    <w:rsid w:val="1D5144A9"/>
    <w:rsid w:val="205A0929"/>
    <w:rsid w:val="21807302"/>
    <w:rsid w:val="22472857"/>
    <w:rsid w:val="227B2B44"/>
    <w:rsid w:val="24697FD2"/>
    <w:rsid w:val="28AD1D92"/>
    <w:rsid w:val="2C23799B"/>
    <w:rsid w:val="2D6810EA"/>
    <w:rsid w:val="2DBC5E20"/>
    <w:rsid w:val="306304CD"/>
    <w:rsid w:val="30884639"/>
    <w:rsid w:val="312666DD"/>
    <w:rsid w:val="31DF1D75"/>
    <w:rsid w:val="3AF01CFC"/>
    <w:rsid w:val="46707FBC"/>
    <w:rsid w:val="4AF63DE6"/>
    <w:rsid w:val="4F712B90"/>
    <w:rsid w:val="55A92D7B"/>
    <w:rsid w:val="583018F5"/>
    <w:rsid w:val="58E678B3"/>
    <w:rsid w:val="62602DFF"/>
    <w:rsid w:val="636D62D2"/>
    <w:rsid w:val="69083F40"/>
    <w:rsid w:val="69156A83"/>
    <w:rsid w:val="6BCA68E9"/>
    <w:rsid w:val="70B912BE"/>
    <w:rsid w:val="70DC0552"/>
    <w:rsid w:val="78D63969"/>
    <w:rsid w:val="78EE24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iPriority w:val="0"/>
    <w:rPr>
      <w:rFonts w:ascii="宋体" w:hAnsi="Courier New" w:eastAsia="宋体" w:cs="Times New Roman"/>
      <w:kern w:val="2"/>
      <w:sz w:val="24"/>
      <w:szCs w:val="22"/>
      <w:lang w:val="en-US" w:eastAsia="zh-CN" w:bidi="ar-SA"/>
    </w:rPr>
  </w:style>
  <w:style w:type="paragraph" w:styleId="3">
    <w:name w:val="Balloon Text"/>
    <w:basedOn w:val="1"/>
    <w:link w:val="14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10">
    <w:name w:val="fontstyle01"/>
    <w:basedOn w:val="6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1">
    <w:name w:val="页眉 Char"/>
    <w:basedOn w:val="6"/>
    <w:link w:val="5"/>
    <w:qFormat/>
    <w:uiPriority w:val="0"/>
    <w:rPr>
      <w:rFonts w:eastAsia="PMingLiU"/>
      <w:sz w:val="18"/>
      <w:szCs w:val="18"/>
      <w:lang w:eastAsia="en-US"/>
    </w:rPr>
  </w:style>
  <w:style w:type="character" w:customStyle="1" w:styleId="12">
    <w:name w:val="页脚 Char"/>
    <w:basedOn w:val="6"/>
    <w:link w:val="4"/>
    <w:qFormat/>
    <w:uiPriority w:val="0"/>
    <w:rPr>
      <w:rFonts w:eastAsia="PMingLiU"/>
      <w:sz w:val="18"/>
      <w:szCs w:val="18"/>
      <w:lang w:eastAsia="en-US"/>
    </w:rPr>
  </w:style>
  <w:style w:type="paragraph" w:customStyle="1" w:styleId="1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批注框文本 Char"/>
    <w:basedOn w:val="6"/>
    <w:link w:val="3"/>
    <w:qFormat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B78B5-F753-4C4D-89D9-8A5C96C6A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750</Characters>
  <Lines>6</Lines>
  <Paragraphs>1</Paragraphs>
  <ScaleCrop>false</ScaleCrop>
  <LinksUpToDate>false</LinksUpToDate>
  <CharactersWithSpaces>880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赛花</cp:lastModifiedBy>
  <cp:lastPrinted>2017-01-05T16:24:00Z</cp:lastPrinted>
  <dcterms:modified xsi:type="dcterms:W3CDTF">2018-05-17T07:54:15Z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