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Theme="minorEastAsia"/>
          <w:b/>
          <w:sz w:val="32"/>
          <w:szCs w:val="32"/>
          <w:lang w:eastAsia="zh-CN"/>
        </w:rPr>
      </w:pPr>
      <w:bookmarkStart w:id="0" w:name="_GoBack"/>
      <w:r>
        <w:rPr>
          <w:rFonts w:hint="eastAsia" w:ascii="宋体" w:hAnsi="宋体"/>
          <w:b/>
          <w:sz w:val="32"/>
          <w:szCs w:val="32"/>
          <w:lang w:eastAsia="zh-CN"/>
        </w:rPr>
        <w:t>《</w:t>
      </w:r>
      <w:r>
        <w:rPr>
          <w:rFonts w:hint="eastAsia" w:ascii="宋体" w:hAnsi="宋体" w:eastAsiaTheme="minorEastAsia"/>
          <w:b/>
          <w:sz w:val="32"/>
          <w:szCs w:val="32"/>
          <w:lang w:eastAsia="zh-CN"/>
        </w:rPr>
        <w:t>社会工作价值与伦理</w:t>
      </w:r>
      <w:r>
        <w:rPr>
          <w:rFonts w:hint="eastAsia" w:ascii="宋体" w:hAnsi="宋体"/>
          <w:b/>
          <w:sz w:val="32"/>
          <w:szCs w:val="32"/>
          <w:lang w:eastAsia="zh-CN"/>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344"/>
        <w:gridCol w:w="364"/>
        <w:gridCol w:w="620"/>
        <w:gridCol w:w="1496"/>
        <w:gridCol w:w="25"/>
        <w:gridCol w:w="849"/>
        <w:gridCol w:w="1688"/>
        <w:gridCol w:w="699"/>
        <w:gridCol w:w="484"/>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91"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社会工作价值与伦理</w:t>
            </w:r>
          </w:p>
        </w:tc>
        <w:tc>
          <w:tcPr>
            <w:tcW w:w="4810"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rPr>
              <w:t xml:space="preserve">课程英文名称： </w:t>
            </w:r>
            <w:r>
              <w:rPr>
                <w:rFonts w:hint="eastAsia" w:ascii="宋体" w:hAnsi="宋体" w:eastAsia="宋体"/>
                <w:sz w:val="21"/>
                <w:szCs w:val="21"/>
                <w:lang w:eastAsia="zh-CN"/>
              </w:rPr>
              <w:t>social work value and ethics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91"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sz w:val="21"/>
                <w:szCs w:val="21"/>
                <w:lang w:eastAsia="zh-CN"/>
              </w:rPr>
              <w:t>54/3/3</w:t>
            </w:r>
          </w:p>
        </w:tc>
        <w:tc>
          <w:tcPr>
            <w:tcW w:w="4810"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 xml:space="preserve">先修课程： </w:t>
            </w:r>
            <w:r>
              <w:rPr>
                <w:rFonts w:hint="eastAsia" w:ascii="宋体" w:hAnsi="宋体" w:eastAsia="宋体"/>
                <w:sz w:val="21"/>
                <w:szCs w:val="21"/>
                <w:lang w:eastAsia="zh-CN"/>
              </w:rPr>
              <w:t>社会工作概论、社会学概论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91"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授课时间：</w:t>
            </w:r>
            <w:r>
              <w:rPr>
                <w:rFonts w:hint="eastAsia" w:ascii="宋体" w:hAnsi="宋体" w:eastAsia="宋体"/>
                <w:sz w:val="21"/>
                <w:szCs w:val="21"/>
                <w:lang w:val="en-US" w:eastAsia="zh-CN"/>
              </w:rPr>
              <w:t>星期二第1-2节</w:t>
            </w:r>
            <w:r>
              <w:rPr>
                <w:rFonts w:hint="eastAsia" w:ascii="宋体" w:hAnsi="宋体" w:eastAsia="宋体"/>
                <w:sz w:val="21"/>
                <w:szCs w:val="21"/>
                <w:lang w:eastAsia="zh-CN"/>
              </w:rPr>
              <w:t>（1-</w:t>
            </w:r>
            <w:r>
              <w:rPr>
                <w:rFonts w:hint="eastAsia" w:ascii="宋体" w:hAnsi="宋体" w:eastAsia="宋体"/>
                <w:sz w:val="21"/>
                <w:szCs w:val="21"/>
                <w:lang w:val="en-US" w:eastAsia="zh-CN"/>
              </w:rPr>
              <w:t>9</w:t>
            </w:r>
            <w:r>
              <w:rPr>
                <w:rFonts w:hint="eastAsia" w:ascii="宋体" w:hAnsi="宋体" w:eastAsia="宋体"/>
                <w:sz w:val="21"/>
                <w:szCs w:val="21"/>
                <w:lang w:eastAsia="zh-CN"/>
              </w:rPr>
              <w:t>周）、周五</w:t>
            </w:r>
            <w:r>
              <w:rPr>
                <w:rFonts w:hint="eastAsia" w:ascii="宋体" w:hAnsi="宋体" w:eastAsia="宋体"/>
                <w:sz w:val="21"/>
                <w:szCs w:val="21"/>
                <w:lang w:val="en-US" w:eastAsia="zh-CN"/>
              </w:rPr>
              <w:t>第3-4节</w:t>
            </w:r>
            <w:r>
              <w:rPr>
                <w:rFonts w:hint="eastAsia" w:ascii="宋体" w:hAnsi="宋体" w:eastAsia="宋体"/>
                <w:sz w:val="21"/>
                <w:szCs w:val="21"/>
                <w:lang w:eastAsia="zh-CN"/>
              </w:rPr>
              <w:t>（1-</w:t>
            </w:r>
            <w:r>
              <w:rPr>
                <w:rFonts w:hint="eastAsia" w:ascii="宋体" w:hAnsi="宋体" w:eastAsia="宋体"/>
                <w:sz w:val="21"/>
                <w:szCs w:val="21"/>
                <w:lang w:val="en-US" w:eastAsia="zh-CN"/>
              </w:rPr>
              <w:t>18</w:t>
            </w:r>
            <w:r>
              <w:rPr>
                <w:rFonts w:hint="eastAsia" w:ascii="宋体" w:hAnsi="宋体" w:eastAsia="宋体"/>
                <w:sz w:val="21"/>
                <w:szCs w:val="21"/>
                <w:lang w:eastAsia="zh-CN"/>
              </w:rPr>
              <w:t>周）</w:t>
            </w:r>
          </w:p>
        </w:tc>
        <w:tc>
          <w:tcPr>
            <w:tcW w:w="4810"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val="en-US" w:eastAsia="zh-CN"/>
              </w:rPr>
            </w:pPr>
            <w:r>
              <w:rPr>
                <w:rFonts w:hint="eastAsia" w:ascii="宋体" w:hAnsi="宋体" w:eastAsia="宋体"/>
                <w:b/>
                <w:sz w:val="21"/>
                <w:szCs w:val="21"/>
                <w:lang w:eastAsia="zh-CN"/>
              </w:rPr>
              <w:t>授课地点：</w:t>
            </w:r>
            <w:r>
              <w:rPr>
                <w:rFonts w:hint="eastAsia" w:ascii="宋体" w:hAnsi="宋体" w:eastAsia="宋体"/>
                <w:sz w:val="21"/>
                <w:szCs w:val="21"/>
                <w:lang w:val="en-US" w:eastAsia="zh-CN"/>
              </w:rPr>
              <w:t>莞城5205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 xml:space="preserve">授课对象： </w:t>
            </w:r>
            <w:r>
              <w:rPr>
                <w:rFonts w:hint="eastAsia" w:ascii="宋体" w:hAnsi="宋体" w:eastAsia="宋体"/>
                <w:sz w:val="21"/>
                <w:szCs w:val="21"/>
                <w:lang w:val="en-US" w:eastAsia="zh-CN"/>
              </w:rPr>
              <w:t>2017级社会工作专业学生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val="en-US" w:eastAsia="zh-CN"/>
              </w:rPr>
              <w:t>法律与社会工作学院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val="en-US" w:eastAsia="zh-CN"/>
              </w:rPr>
              <w:t>邹朝春/讲师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91"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val="en-US" w:eastAsia="zh-CN"/>
              </w:rPr>
            </w:pPr>
            <w:r>
              <w:rPr>
                <w:rFonts w:hint="eastAsia" w:ascii="宋体" w:hAnsi="宋体" w:eastAsia="宋体"/>
                <w:b/>
                <w:sz w:val="21"/>
                <w:szCs w:val="21"/>
              </w:rPr>
              <w:t>联系电话：</w:t>
            </w:r>
            <w:r>
              <w:rPr>
                <w:rFonts w:hint="eastAsia" w:ascii="宋体" w:hAnsi="宋体" w:eastAsia="宋体"/>
                <w:b/>
                <w:sz w:val="21"/>
                <w:szCs w:val="21"/>
                <w:lang w:val="en-US" w:eastAsia="zh-CN"/>
              </w:rPr>
              <w:t>13712475262</w:t>
            </w:r>
          </w:p>
        </w:tc>
        <w:tc>
          <w:tcPr>
            <w:tcW w:w="4810"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sz w:val="21"/>
                <w:szCs w:val="21"/>
                <w:lang w:val="en-US" w:eastAsia="zh-CN"/>
              </w:rPr>
              <w:t>64303278@qq.com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b w:val="0"/>
                <w:bCs/>
                <w:szCs w:val="21"/>
                <w:lang w:val="en-US" w:eastAsia="zh-CN"/>
              </w:rPr>
              <w:t>课后答疑、教室或其他地方 ，当面答疑或电话答疑或邮件答疑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b w:val="0"/>
                <w:bCs/>
                <w:szCs w:val="21"/>
                <w:lang w:val="en-US" w:eastAsia="zh-CN"/>
              </w:rPr>
            </w:pPr>
            <w:r>
              <w:rPr>
                <w:rFonts w:hint="eastAsia" w:ascii="宋体" w:hAnsi="宋体" w:eastAsia="宋体"/>
                <w:b/>
                <w:bCs/>
                <w:sz w:val="21"/>
                <w:szCs w:val="21"/>
                <w:lang w:eastAsia="zh-CN"/>
              </w:rPr>
              <w:t>使用教材：</w:t>
            </w:r>
            <w:r>
              <w:rPr>
                <w:rFonts w:hint="eastAsia" w:ascii="宋体" w:hAnsi="宋体"/>
                <w:b w:val="0"/>
                <w:bCs/>
                <w:szCs w:val="21"/>
                <w:lang w:val="en-US" w:eastAsia="zh-CN"/>
              </w:rPr>
              <w:t>陈钟林 黄晓燕，《社会工作价值与伦理》，高等教育出版社，2016</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b w:val="0"/>
                <w:bCs/>
                <w:szCs w:val="21"/>
                <w:lang w:val="en-US" w:eastAsia="zh-CN"/>
              </w:rPr>
            </w:pPr>
            <w:r>
              <w:rPr>
                <w:rFonts w:hint="eastAsia" w:ascii="宋体" w:hAnsi="宋体" w:eastAsia="宋体"/>
                <w:b/>
                <w:bCs/>
                <w:sz w:val="21"/>
                <w:szCs w:val="21"/>
                <w:lang w:eastAsia="zh-CN"/>
              </w:rPr>
              <w:t>教学参考资料：</w:t>
            </w:r>
            <w:r>
              <w:rPr>
                <w:rFonts w:hint="eastAsia" w:ascii="宋体" w:hAnsi="宋体"/>
                <w:b w:val="0"/>
                <w:bCs/>
                <w:szCs w:val="21"/>
                <w:lang w:val="en-US" w:eastAsia="zh-CN"/>
              </w:rPr>
              <w:t>费孝通，《乡土中国》，江苏文艺出版社，2010；</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b w:val="0"/>
                <w:bCs/>
                <w:szCs w:val="21"/>
                <w:lang w:val="en-US" w:eastAsia="zh-CN"/>
              </w:rPr>
            </w:pPr>
            <w:r>
              <w:rPr>
                <w:rFonts w:hint="eastAsia" w:ascii="宋体" w:hAnsi="宋体"/>
                <w:b w:val="0"/>
                <w:bCs/>
                <w:szCs w:val="21"/>
                <w:lang w:val="en-US" w:eastAsia="zh-CN"/>
              </w:rPr>
              <w:t>翟学伟，《中国人的行动逻辑》，中国社会科学出版社，2003；</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b w:val="0"/>
                <w:bCs/>
                <w:szCs w:val="21"/>
                <w:lang w:val="en-US" w:eastAsia="zh-CN"/>
              </w:rPr>
            </w:pPr>
            <w:r>
              <w:rPr>
                <w:rFonts w:hint="eastAsia" w:ascii="宋体" w:hAnsi="宋体"/>
                <w:b w:val="0"/>
                <w:bCs/>
                <w:szCs w:val="21"/>
                <w:lang w:val="en-US" w:eastAsia="zh-CN"/>
              </w:rPr>
              <w:t>Frederic G.Reamer,包承恩，王永慈《社会工作价值与伦理》，红叶事业文化有限公司，2009</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b w:val="0"/>
                <w:bCs/>
                <w:szCs w:val="21"/>
                <w:lang w:val="en-US" w:eastAsia="zh-CN"/>
              </w:rPr>
            </w:pPr>
            <w:r>
              <w:rPr>
                <w:rFonts w:hint="eastAsia" w:ascii="宋体" w:hAnsi="宋体"/>
                <w:b w:val="0"/>
                <w:bCs/>
                <w:szCs w:val="21"/>
                <w:lang w:val="en-US" w:eastAsia="zh-CN"/>
              </w:rPr>
              <w:t>韦伯，《新教伦理与资本主义精神》，中国社会科学出版社，2011</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b w:val="0"/>
                <w:bCs/>
                <w:szCs w:val="21"/>
                <w:lang w:val="en-US" w:eastAsia="zh-CN"/>
              </w:rPr>
              <w:t>夏林清，《斗室星空-家的社会田野》，财团法人导航基金会，2012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ascii="宋体" w:hAnsi="宋体" w:eastAsia="宋体"/>
                <w:b/>
                <w:sz w:val="21"/>
                <w:szCs w:val="21"/>
                <w:lang w:eastAsia="zh-CN"/>
              </w:rPr>
            </w:pPr>
            <w:r>
              <w:rPr>
                <w:rFonts w:hint="eastAsia" w:ascii="宋体" w:hAnsi="宋体"/>
                <w:b w:val="0"/>
                <w:bCs/>
                <w:szCs w:val="21"/>
                <w:lang w:val="en-US" w:eastAsia="zh-CN"/>
              </w:rPr>
              <w:t>本课程分为理论篇与实务篇两部分。第一部分理论篇，为社会工作价值伦理的知识构建。主要探讨社会工作价值与伦理的重要性；追溯社会工作价值的历史；介绍社会工作基本价值伦理的实际应用；比较中西方社会生活哲学的差异进而展望我国社会工作专业价值观本土化的可能。综述社会工作价值伦理的基本议题、实践中的伦理困境。第二部分为应用篇，结合实际社会工作领域，探讨社会工作伦理议题，注重实践应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4566" w:type="dxa"/>
            <w:gridSpan w:val="5"/>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hint="eastAsia" w:ascii="宋体" w:hAnsi="宋体"/>
                <w:b w:val="0"/>
                <w:bCs/>
                <w:szCs w:val="21"/>
                <w:lang w:val="en-US" w:eastAsia="zh-CN"/>
              </w:rPr>
            </w:pPr>
            <w:r>
              <w:rPr>
                <w:rFonts w:hint="eastAsia" w:ascii="宋体" w:hAnsi="宋体"/>
                <w:b w:val="0"/>
                <w:bCs/>
                <w:szCs w:val="21"/>
                <w:lang w:val="en-US" w:eastAsia="zh-CN"/>
              </w:rPr>
              <w:t>1.培养基本的社会工作价值伦理知识；</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hint="eastAsia" w:ascii="宋体" w:hAnsi="宋体"/>
                <w:b w:val="0"/>
                <w:bCs/>
                <w:szCs w:val="21"/>
                <w:lang w:val="en-US" w:eastAsia="zh-CN"/>
              </w:rPr>
            </w:pPr>
            <w:r>
              <w:rPr>
                <w:rFonts w:hint="eastAsia" w:ascii="宋体" w:hAnsi="宋体"/>
                <w:b w:val="0"/>
                <w:bCs/>
                <w:szCs w:val="21"/>
                <w:lang w:val="en-US" w:eastAsia="zh-CN"/>
              </w:rPr>
              <w:t>2.了解和识别符合专业实践要求的价</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hint="eastAsia" w:ascii="宋体" w:hAnsi="宋体"/>
                <w:b w:val="0"/>
                <w:bCs/>
                <w:szCs w:val="21"/>
                <w:lang w:val="en-US" w:eastAsia="zh-CN"/>
              </w:rPr>
            </w:pPr>
            <w:r>
              <w:rPr>
                <w:rFonts w:hint="eastAsia" w:ascii="宋体" w:hAnsi="宋体"/>
                <w:b w:val="0"/>
                <w:bCs/>
                <w:szCs w:val="21"/>
                <w:lang w:val="en-US" w:eastAsia="zh-CN"/>
              </w:rPr>
              <w:t>值伦理原则，并能够运用于实践；</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hint="eastAsia" w:ascii="宋体" w:hAnsi="宋体"/>
                <w:b w:val="0"/>
                <w:bCs/>
                <w:szCs w:val="21"/>
                <w:lang w:val="en-US" w:eastAsia="zh-CN"/>
              </w:rPr>
            </w:pPr>
            <w:r>
              <w:rPr>
                <w:rFonts w:hint="eastAsia" w:ascii="宋体" w:hAnsi="宋体"/>
                <w:b w:val="0"/>
                <w:bCs/>
                <w:szCs w:val="21"/>
                <w:lang w:val="en-US" w:eastAsia="zh-CN"/>
              </w:rPr>
              <w:t>3.协助发展伦理抉择能力，澄清专</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hint="eastAsia" w:ascii="宋体" w:hAnsi="宋体"/>
                <w:b w:val="0"/>
                <w:bCs/>
                <w:szCs w:val="21"/>
                <w:lang w:val="en-US" w:eastAsia="zh-CN"/>
              </w:rPr>
            </w:pPr>
            <w:r>
              <w:rPr>
                <w:rFonts w:hint="eastAsia" w:ascii="宋体" w:hAnsi="宋体"/>
                <w:b w:val="0"/>
                <w:bCs/>
                <w:szCs w:val="21"/>
                <w:lang w:val="en-US" w:eastAsia="zh-CN"/>
              </w:rPr>
              <w:t>业价值内涵。</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hint="eastAsia" w:ascii="宋体" w:hAnsi="宋体"/>
                <w:b w:val="0"/>
                <w:bCs/>
                <w:szCs w:val="21"/>
                <w:lang w:val="en-US"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p>
        </w:tc>
        <w:tc>
          <w:tcPr>
            <w:tcW w:w="4835" w:type="dxa"/>
            <w:gridSpan w:val="6"/>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0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620"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教学时长</w:t>
            </w:r>
          </w:p>
        </w:tc>
        <w:tc>
          <w:tcPr>
            <w:tcW w:w="4058" w:type="dxa"/>
            <w:gridSpan w:val="4"/>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183"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090"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1-2</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社会工作价值及其历史脉络</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8</w:t>
            </w:r>
          </w:p>
        </w:tc>
        <w:tc>
          <w:tcPr>
            <w:tcW w:w="4058"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社会工作历史发展脉络，西方近代社会价值观的生成背景，重点理解社会工作价值观发展的几个阶段；难点为西方近代价值观的历史背景，特别是与文艺复兴、宗教改革、启蒙运动的关系。</w:t>
            </w: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讲授</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《乡土中国》、《新教伦理与资本主义精神》阅读并报告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3-4</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本土情境与社会工作价值</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8</w:t>
            </w:r>
          </w:p>
        </w:tc>
        <w:tc>
          <w:tcPr>
            <w:tcW w:w="4058"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在中国的适应性，特别是社会工作价值如何适应中国传统的乡土社会、关系网络以及中国人行动逻辑背后的释道儒思想。探讨社会工作价值中国化的可能与路径；难点在于需要对中国传统社会以及西方社会历史文化有一定的积累，需要理解中国社会中的人如何与社会工作职业互动。</w:t>
            </w: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讲授</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《斗室星空——家的社会田野》阅读并报告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5</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哲学、价值与社会工作实践</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w:t>
            </w:r>
          </w:p>
        </w:tc>
        <w:tc>
          <w:tcPr>
            <w:tcW w:w="4058"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社会工作哲学的基础与内涵，哲学对社会工作指导，如何理解社会工作所秉持的伦理规范；难点，社会工作哲学与实践的关系。</w:t>
            </w: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讲授</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6</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社会工作价值的本土化</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w:t>
            </w:r>
          </w:p>
        </w:tc>
        <w:tc>
          <w:tcPr>
            <w:tcW w:w="4058"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社会工作价值本土化的关键与基本原则，难点在于社会工作价值本土化的核心概念。</w:t>
            </w: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讲授</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阅读包承恩《社会工作价值与伦理》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7</w:t>
            </w:r>
          </w:p>
        </w:tc>
        <w:tc>
          <w:tcPr>
            <w:tcW w:w="1708"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社会工作伦理的基本议题</w:t>
            </w:r>
          </w:p>
        </w:tc>
        <w:tc>
          <w:tcPr>
            <w:tcW w:w="620"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w:t>
            </w:r>
          </w:p>
        </w:tc>
        <w:tc>
          <w:tcPr>
            <w:tcW w:w="4058" w:type="dxa"/>
            <w:gridSpan w:val="4"/>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价值观、伦理与道德以及社会工作专业伦理的含义与基本原则，以及两者之间的关系；难点在于社会工作伦理的具体实践。</w:t>
            </w:r>
          </w:p>
        </w:tc>
        <w:tc>
          <w:tcPr>
            <w:tcW w:w="11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讲授</w:t>
            </w:r>
          </w:p>
        </w:tc>
        <w:tc>
          <w:tcPr>
            <w:tcW w:w="1090"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8-9</w:t>
            </w:r>
          </w:p>
        </w:tc>
        <w:tc>
          <w:tcPr>
            <w:tcW w:w="1708"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社会工作实践中的伦理困境与抉择</w:t>
            </w:r>
          </w:p>
        </w:tc>
        <w:tc>
          <w:tcPr>
            <w:tcW w:w="620"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8</w:t>
            </w:r>
          </w:p>
        </w:tc>
        <w:tc>
          <w:tcPr>
            <w:tcW w:w="4058" w:type="dxa"/>
            <w:gridSpan w:val="4"/>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伦理困境的内涵及成因，社会工作实践中可能的实践难题，社会工作伦理难题抉择的过程和模式。难点在于如何理解伦理困境背后的文化差异。</w:t>
            </w:r>
          </w:p>
        </w:tc>
        <w:tc>
          <w:tcPr>
            <w:tcW w:w="11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讲授与小组讨论</w:t>
            </w:r>
          </w:p>
        </w:tc>
        <w:tc>
          <w:tcPr>
            <w:tcW w:w="1090"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案例操作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10</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期中考试</w:t>
            </w: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405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1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0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11-12</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伦理的风险管理</w:t>
            </w: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w:t>
            </w:r>
          </w:p>
        </w:tc>
        <w:tc>
          <w:tcPr>
            <w:tcW w:w="405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课程讲授包括对伦理风险中的保密与隐私，服务输送与专业界限的违反，对案主的适当监督与对工作人员的督导</w:t>
            </w:r>
          </w:p>
        </w:tc>
        <w:tc>
          <w:tcPr>
            <w:tcW w:w="11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讲授与小组讨论</w:t>
            </w:r>
          </w:p>
        </w:tc>
        <w:tc>
          <w:tcPr>
            <w:tcW w:w="10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小组报告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13</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伦理上的不当行为</w:t>
            </w: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405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伦理风险中的欺诈与诱骗，服务的终止，社会工作者的个人问题以及执行伦理的审核，难点在于伦理审核的原因与途径。</w:t>
            </w:r>
          </w:p>
        </w:tc>
        <w:tc>
          <w:tcPr>
            <w:tcW w:w="11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讲授与小组讨论</w:t>
            </w:r>
          </w:p>
        </w:tc>
        <w:tc>
          <w:tcPr>
            <w:tcW w:w="10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小组报告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50"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620"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44</w:t>
            </w:r>
          </w:p>
        </w:tc>
        <w:tc>
          <w:tcPr>
            <w:tcW w:w="4058" w:type="dxa"/>
            <w:gridSpan w:val="4"/>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183"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0"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0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实验项目名称</w:t>
            </w:r>
          </w:p>
        </w:tc>
        <w:tc>
          <w:tcPr>
            <w:tcW w:w="620"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学时</w:t>
            </w:r>
          </w:p>
        </w:tc>
        <w:tc>
          <w:tcPr>
            <w:tcW w:w="2370"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重点与难点</w:t>
            </w:r>
          </w:p>
        </w:tc>
        <w:tc>
          <w:tcPr>
            <w:tcW w:w="1688"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183"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方式</w:t>
            </w:r>
          </w:p>
        </w:tc>
        <w:tc>
          <w:tcPr>
            <w:tcW w:w="1090"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14</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伦理困境抉择</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237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如何实践保密及隐私权，自我决定于父权主义，对不同对象的诚信，其中难点在于如何理解自我决定于父权之间的关系。</w:t>
            </w:r>
          </w:p>
        </w:tc>
        <w:tc>
          <w:tcPr>
            <w:tcW w:w="168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案例与模拟</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15</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伦理困境抉择</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237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专业界限与利益冲突以及专业与个人价值之间可能的冲突处理，难点是专业与个人价值关系的处理</w:t>
            </w:r>
          </w:p>
        </w:tc>
        <w:tc>
          <w:tcPr>
            <w:tcW w:w="168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案例与模拟</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16</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价值冲突的处理</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237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有限资源分配以及对法规遵守的两难处理，难点对于情理法的处理。</w:t>
            </w:r>
          </w:p>
        </w:tc>
        <w:tc>
          <w:tcPr>
            <w:tcW w:w="168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案例与模拟</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17</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价值冲突的处理</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237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欺骗的运用以及揭发机构或专业团体内部不当行为，难点是欺骗运用的适切性。</w:t>
            </w:r>
          </w:p>
        </w:tc>
        <w:tc>
          <w:tcPr>
            <w:tcW w:w="168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案例与模拟</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18</w:t>
            </w:r>
          </w:p>
        </w:tc>
        <w:tc>
          <w:tcPr>
            <w:tcW w:w="170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价值冲突的处理</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237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社会工作者个人问题的处理，  社工自身可能出现的相关问题的处理与专业之间的冲突。</w:t>
            </w:r>
          </w:p>
        </w:tc>
        <w:tc>
          <w:tcPr>
            <w:tcW w:w="168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案例与模拟</w:t>
            </w: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5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sz w:val="21"/>
                <w:szCs w:val="21"/>
              </w:rPr>
              <w:t>合计：</w:t>
            </w:r>
          </w:p>
        </w:tc>
        <w:tc>
          <w:tcPr>
            <w:tcW w:w="62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10</w:t>
            </w:r>
          </w:p>
        </w:tc>
        <w:tc>
          <w:tcPr>
            <w:tcW w:w="237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8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1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0"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86"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74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74"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86"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考勤</w:t>
            </w:r>
          </w:p>
        </w:tc>
        <w:tc>
          <w:tcPr>
            <w:tcW w:w="574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旷课两次不得分，三次取消考试资格</w:t>
            </w:r>
          </w:p>
        </w:tc>
        <w:tc>
          <w:tcPr>
            <w:tcW w:w="1574"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val="en-US" w:eastAsia="zh-CN"/>
              </w:rPr>
              <w:t>5</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86"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课堂报告</w:t>
            </w:r>
          </w:p>
        </w:tc>
        <w:tc>
          <w:tcPr>
            <w:tcW w:w="574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是否能够回应所选主题并能详述相关价值可能</w:t>
            </w:r>
          </w:p>
        </w:tc>
        <w:tc>
          <w:tcPr>
            <w:tcW w:w="1574"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val="en-US" w:eastAsia="zh-CN"/>
              </w:rPr>
              <w:t>15</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86"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实验表现</w:t>
            </w:r>
          </w:p>
        </w:tc>
        <w:tc>
          <w:tcPr>
            <w:tcW w:w="574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能够服从实验室管理，完成实验要求</w:t>
            </w:r>
          </w:p>
        </w:tc>
        <w:tc>
          <w:tcPr>
            <w:tcW w:w="1574"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86"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期末考试</w:t>
            </w:r>
          </w:p>
        </w:tc>
        <w:tc>
          <w:tcPr>
            <w:tcW w:w="574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szCs w:val="21"/>
              </w:rPr>
              <w:t>考察学生对相关理论知识的理解与运用</w:t>
            </w:r>
          </w:p>
        </w:tc>
        <w:tc>
          <w:tcPr>
            <w:tcW w:w="1574"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val="en-US" w:eastAsia="zh-CN"/>
              </w:rPr>
              <w:t>7</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86"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p>
        </w:tc>
        <w:tc>
          <w:tcPr>
            <w:tcW w:w="574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p>
        </w:tc>
        <w:tc>
          <w:tcPr>
            <w:tcW w:w="1574"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b/>
                <w:sz w:val="21"/>
                <w:szCs w:val="21"/>
                <w:lang w:val="en-US"/>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2018年9月12日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1"/>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line="360" w:lineRule="exact"/>
              <w:ind w:firstLine="1080" w:firstLineChars="450"/>
              <w:textAlignment w:val="auto"/>
              <w:rPr>
                <w:rFonts w:ascii="宋体" w:hAnsi="宋体"/>
                <w:szCs w:val="21"/>
                <w:lang w:eastAsia="zh-CN"/>
              </w:rPr>
            </w:pPr>
            <w:r>
              <w:rPr>
                <w:rFonts w:hint="eastAsia" w:ascii="宋体" w:hAnsi="宋体" w:eastAsiaTheme="minorEastAsia"/>
                <w:szCs w:val="21"/>
                <w:lang w:eastAsia="zh-CN"/>
              </w:rPr>
              <w:t>本</w:t>
            </w:r>
            <w:r>
              <w:rPr>
                <w:rFonts w:hint="eastAsia" w:ascii="宋体" w:hAnsi="宋体"/>
                <w:szCs w:val="21"/>
                <w:lang w:eastAsia="zh-CN"/>
              </w:rPr>
              <w:t>系已对本课程教学大纲进行了审查，同意执行。</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 xml:space="preserve">                     系主任签名：</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 日期：</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年 </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 月 </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  日</w:t>
            </w:r>
          </w:p>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p>
        </w:tc>
      </w:tr>
    </w:tbl>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keepNext w:val="0"/>
        <w:keepLines w:val="0"/>
        <w:pageBreakBefore w:val="0"/>
        <w:widowControl/>
        <w:kinsoku/>
        <w:wordWrap/>
        <w:overflowPunct/>
        <w:topLinePunct w:val="0"/>
        <w:autoSpaceDE/>
        <w:autoSpaceDN/>
        <w:bidi w:val="0"/>
        <w:adjustRightInd/>
        <w:spacing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4、若课程无理论教学环节或无实践教学环节，可将相应的教学进度表删掉。</w:t>
      </w:r>
    </w:p>
    <w:bookmarkEnd w:id="0"/>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74272"/>
    <w:rsid w:val="00087B74"/>
    <w:rsid w:val="000A0377"/>
    <w:rsid w:val="000B626E"/>
    <w:rsid w:val="000C2D4A"/>
    <w:rsid w:val="000D45C1"/>
    <w:rsid w:val="000E0AE8"/>
    <w:rsid w:val="00101A7F"/>
    <w:rsid w:val="00155E5A"/>
    <w:rsid w:val="00171228"/>
    <w:rsid w:val="0019439D"/>
    <w:rsid w:val="001B31E9"/>
    <w:rsid w:val="001D28E8"/>
    <w:rsid w:val="001D331F"/>
    <w:rsid w:val="001F20BC"/>
    <w:rsid w:val="00204C20"/>
    <w:rsid w:val="002111AE"/>
    <w:rsid w:val="00227119"/>
    <w:rsid w:val="002471C4"/>
    <w:rsid w:val="002603F2"/>
    <w:rsid w:val="002E27E1"/>
    <w:rsid w:val="002F0B56"/>
    <w:rsid w:val="003044FA"/>
    <w:rsid w:val="0037561C"/>
    <w:rsid w:val="00397B80"/>
    <w:rsid w:val="003C66D8"/>
    <w:rsid w:val="003E66A6"/>
    <w:rsid w:val="00402AC9"/>
    <w:rsid w:val="00414FC8"/>
    <w:rsid w:val="00457E42"/>
    <w:rsid w:val="004B3994"/>
    <w:rsid w:val="004D77D1"/>
    <w:rsid w:val="004E0481"/>
    <w:rsid w:val="004E7804"/>
    <w:rsid w:val="00502BF6"/>
    <w:rsid w:val="005639AB"/>
    <w:rsid w:val="005911D3"/>
    <w:rsid w:val="005E3082"/>
    <w:rsid w:val="005F174F"/>
    <w:rsid w:val="0063410F"/>
    <w:rsid w:val="0065651C"/>
    <w:rsid w:val="006629BE"/>
    <w:rsid w:val="0068043F"/>
    <w:rsid w:val="00721739"/>
    <w:rsid w:val="00735FDE"/>
    <w:rsid w:val="00770F0D"/>
    <w:rsid w:val="00776AF2"/>
    <w:rsid w:val="00785779"/>
    <w:rsid w:val="00794EFB"/>
    <w:rsid w:val="007A154B"/>
    <w:rsid w:val="007F4511"/>
    <w:rsid w:val="008147FF"/>
    <w:rsid w:val="00815F78"/>
    <w:rsid w:val="008304E6"/>
    <w:rsid w:val="008512DF"/>
    <w:rsid w:val="00855020"/>
    <w:rsid w:val="00885EED"/>
    <w:rsid w:val="00890A4A"/>
    <w:rsid w:val="00892ADC"/>
    <w:rsid w:val="00896971"/>
    <w:rsid w:val="008F6642"/>
    <w:rsid w:val="00900FC2"/>
    <w:rsid w:val="00917C66"/>
    <w:rsid w:val="009349EE"/>
    <w:rsid w:val="009A2B5C"/>
    <w:rsid w:val="009B3EAE"/>
    <w:rsid w:val="009C3354"/>
    <w:rsid w:val="009D3079"/>
    <w:rsid w:val="009F4976"/>
    <w:rsid w:val="00A84D68"/>
    <w:rsid w:val="00A85774"/>
    <w:rsid w:val="00AA199F"/>
    <w:rsid w:val="00AA7BA3"/>
    <w:rsid w:val="00AB00C2"/>
    <w:rsid w:val="00AE48DD"/>
    <w:rsid w:val="00B7322C"/>
    <w:rsid w:val="00BB35F5"/>
    <w:rsid w:val="00BE78E8"/>
    <w:rsid w:val="00C41D05"/>
    <w:rsid w:val="00C705DD"/>
    <w:rsid w:val="00C76FA2"/>
    <w:rsid w:val="00CA1AB8"/>
    <w:rsid w:val="00CC4A46"/>
    <w:rsid w:val="00CD2F8F"/>
    <w:rsid w:val="00D45246"/>
    <w:rsid w:val="00D62B41"/>
    <w:rsid w:val="00DB45CF"/>
    <w:rsid w:val="00DB5724"/>
    <w:rsid w:val="00DF5C03"/>
    <w:rsid w:val="00DF77ED"/>
    <w:rsid w:val="00E0505F"/>
    <w:rsid w:val="00E413E8"/>
    <w:rsid w:val="00E53E23"/>
    <w:rsid w:val="00E86E37"/>
    <w:rsid w:val="00ED3FCA"/>
    <w:rsid w:val="00F31667"/>
    <w:rsid w:val="00F617C2"/>
    <w:rsid w:val="00F641AE"/>
    <w:rsid w:val="00F828F7"/>
    <w:rsid w:val="00F96D96"/>
    <w:rsid w:val="00FB0B5E"/>
    <w:rsid w:val="00FE22C8"/>
    <w:rsid w:val="28AD1D92"/>
    <w:rsid w:val="2C23799B"/>
    <w:rsid w:val="3B8C338D"/>
    <w:rsid w:val="3CE91CAC"/>
    <w:rsid w:val="40C40572"/>
    <w:rsid w:val="5CDF2B90"/>
    <w:rsid w:val="62602DFF"/>
    <w:rsid w:val="7ABB06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B78B5-F753-4C4D-89D9-8A5C96C6AEB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383</Words>
  <Characters>2184</Characters>
  <Lines>18</Lines>
  <Paragraphs>5</Paragraphs>
  <TotalTime>2</TotalTime>
  <ScaleCrop>false</ScaleCrop>
  <LinksUpToDate>false</LinksUpToDate>
  <CharactersWithSpaces>2562</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zzz</cp:lastModifiedBy>
  <cp:lastPrinted>2017-01-05T16:24:00Z</cp:lastPrinted>
  <dcterms:modified xsi:type="dcterms:W3CDTF">2018-09-25T03:00:02Z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y fmtid="{D5CDD505-2E9C-101B-9397-08002B2CF9AE}" pid="3" name="KSORubyTemplateID" linkTarget="0">
    <vt:lpwstr>6</vt:lpwstr>
  </property>
</Properties>
</file>